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2758" w:rsidRPr="00D122AB" w:rsidRDefault="00D22758" w:rsidP="00D22758">
      <w:pPr>
        <w:spacing w:before="100" w:beforeAutospacing="1" w:after="100" w:afterAutospacing="1" w:line="240" w:lineRule="auto"/>
        <w:jc w:val="both"/>
        <w:rPr>
          <w:rFonts w:ascii="Arial" w:eastAsia="Times New Roman" w:hAnsi="Arial" w:cs="Arial"/>
          <w:b/>
          <w:sz w:val="24"/>
          <w:szCs w:val="24"/>
          <w:lang w:val="es-EC" w:eastAsia="es-EC"/>
        </w:rPr>
      </w:pPr>
      <w:bookmarkStart w:id="0" w:name="_GoBack"/>
      <w:bookmarkEnd w:id="0"/>
      <w:r w:rsidRPr="00D122AB">
        <w:rPr>
          <w:rFonts w:ascii="Arial" w:eastAsia="Times New Roman" w:hAnsi="Arial" w:cs="Arial"/>
          <w:b/>
          <w:sz w:val="24"/>
          <w:szCs w:val="24"/>
          <w:lang w:val="es-EC" w:eastAsia="es-EC"/>
        </w:rPr>
        <w:t>ORDENANZA REFORMATORIA A LA ORDENANZA SUSTITUTIVA QUE REGLAMENTA LA PLANIFICACIÓN, ADMINISTRACIÓN Y MANEJO DE RECURSOS ECONÓMICOS PARA LA EJECUCIÓN DEL PROYECTO “EXPO SACHA, PARA LA PROMOCIÓN Y DIFUSIÓN DE LA CULTURA, RECREACIÓN, TECNOLOGÍAS AGRO PRODUCTIVAS, COMERCIO, TURISMO Y EMPRENDIMIENTOS, PARA PROMOVER LA DINAMIZACIÓN DE LA ECONOMÍA LOCAL DEL CANTÓN LA JOYA DE LOS SACHAS”.</w:t>
      </w:r>
    </w:p>
    <w:p w:rsidR="00777CD4" w:rsidRPr="004B0A4E" w:rsidRDefault="00777CD4" w:rsidP="00D122AB">
      <w:pPr>
        <w:spacing w:before="100" w:beforeAutospacing="1" w:after="100" w:afterAutospacing="1" w:line="240" w:lineRule="auto"/>
        <w:jc w:val="both"/>
        <w:rPr>
          <w:rFonts w:ascii="Arial" w:eastAsia="Times New Roman" w:hAnsi="Arial" w:cs="Arial"/>
          <w:b/>
          <w:sz w:val="24"/>
          <w:szCs w:val="24"/>
          <w:lang w:val="es-EC" w:eastAsia="es-EC"/>
        </w:rPr>
      </w:pPr>
      <w:r w:rsidRPr="004B0A4E">
        <w:rPr>
          <w:rFonts w:ascii="Arial" w:eastAsia="Times New Roman" w:hAnsi="Arial" w:cs="Arial"/>
          <w:b/>
          <w:sz w:val="24"/>
          <w:szCs w:val="24"/>
          <w:lang w:val="es-EC" w:eastAsia="es-EC"/>
        </w:rPr>
        <w:t>EXPOSICIÓN DE MOTIVOS</w:t>
      </w:r>
    </w:p>
    <w:p w:rsidR="007166B7" w:rsidRPr="007166B7"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El Gobierno Autónomo Descentralizado Municipal del Cantón La Joya de los Sachas, en ejercicio de su autonomía constitucional y administrativa, ha organizado su gestión institucional conforme al Estatuto Orgánico de Gestión Organizacional por Procesos, instrumento normativo interno que, de acuerdo con lo dispuesto en su Artículo 9 y en el Capítulo IV – Descripción del Modelo Organizacional por Procesos, define la estructura orgánica y funcional de la institución, estableciendo el Proceso 10: Desarrollo Económico y Productivo, dentro del cual se encuentra la Dirección de Gestión de Desarrollo Económico y Productivo, así como la Unidad de Agregación de Valor y Comercialización, como instancias responsables de planificar, coordinar y ejecutar acciones orientadas a la promoción del desarrollo económico local, la agregación de valor, la comercialización, el fomento de emprendimientos y el fortalecimiento de la economía popular y solidaria.</w:t>
      </w:r>
    </w:p>
    <w:p w:rsidR="007166B7" w:rsidRPr="007166B7"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 xml:space="preserve">En coherencia con dicha estructura orgánica y funcional, el proyecto Expo Sacha se encuentra regulado por la Ordenanza Sustitutiva que reglamenta la planificación, administración y manejo de recursos económicos para la ejecución del proyecto Expo Sacha, aprobada en el año 2023, la cual define al evento como un espacio de promoción y difusión de la cultura, recreación, tecnologías </w:t>
      </w:r>
      <w:proofErr w:type="spellStart"/>
      <w:r w:rsidRPr="007166B7">
        <w:rPr>
          <w:rFonts w:ascii="Arial" w:eastAsia="Times New Roman" w:hAnsi="Arial" w:cs="Arial"/>
          <w:sz w:val="24"/>
          <w:szCs w:val="24"/>
          <w:lang w:val="es-EC" w:eastAsia="es-EC"/>
        </w:rPr>
        <w:t>agroproductivas</w:t>
      </w:r>
      <w:proofErr w:type="spellEnd"/>
      <w:r w:rsidRPr="007166B7">
        <w:rPr>
          <w:rFonts w:ascii="Arial" w:eastAsia="Times New Roman" w:hAnsi="Arial" w:cs="Arial"/>
          <w:sz w:val="24"/>
          <w:szCs w:val="24"/>
          <w:lang w:val="es-EC" w:eastAsia="es-EC"/>
        </w:rPr>
        <w:t>, comercio, turismo y emprendimientos, y establece su ejecución a través de la Dirección de Gestión de Desarrollo Económico y Productivo, en concordancia con las atribuciones asignadas a este proceso institucional.</w:t>
      </w:r>
    </w:p>
    <w:p w:rsidR="007166B7" w:rsidRPr="007166B7"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 xml:space="preserve">En este marco, la Expo Sacha constituye una acción institucional de promoción, difusión y dinamización de la economía local, orientada a generar espacios temporales de comercialización, </w:t>
      </w:r>
      <w:proofErr w:type="spellStart"/>
      <w:r w:rsidRPr="007166B7">
        <w:rPr>
          <w:rFonts w:ascii="Arial" w:eastAsia="Times New Roman" w:hAnsi="Arial" w:cs="Arial"/>
          <w:sz w:val="24"/>
          <w:szCs w:val="24"/>
          <w:lang w:val="es-EC" w:eastAsia="es-EC"/>
        </w:rPr>
        <w:t>visibilización</w:t>
      </w:r>
      <w:proofErr w:type="spellEnd"/>
      <w:r w:rsidRPr="007166B7">
        <w:rPr>
          <w:rFonts w:ascii="Arial" w:eastAsia="Times New Roman" w:hAnsi="Arial" w:cs="Arial"/>
          <w:sz w:val="24"/>
          <w:szCs w:val="24"/>
          <w:lang w:val="es-EC" w:eastAsia="es-EC"/>
        </w:rPr>
        <w:t xml:space="preserve"> de emprendimientos, promoción turística, cultural y gastronómica, y fortalecimiento de los circuitos económicos del cantón, conforme a los objetivos y áreas de gestión previstos en la ordenanza sustitutiva vigente, sin que ello implique el ejercicio de competencias de fomento productivo primario, sanidad animal o regulación sectorial especializada atribuidas a otros niveles de gobierno.</w:t>
      </w:r>
    </w:p>
    <w:p w:rsidR="007166B7" w:rsidRPr="007166B7"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 xml:space="preserve">No obstante, la Ordenanza Sustitutiva aprobada en el año 2023 incorporó referencias normativas vinculadas a procesos de delegación de competencias por parte de otros niveles de gobierno, que no se corresponden con la naturaleza funcional del proyecto Expo Sacha, ni con la estructura orgánica definida en el Estatuto Orgánico institucional, ni con el ámbito competencial que la Constitución de la República del Ecuador y el Código Orgánico de Organización Territorial, Autonomía y Descentralización asignan a los gobiernos autónomos </w:t>
      </w:r>
      <w:r w:rsidRPr="007166B7">
        <w:rPr>
          <w:rFonts w:ascii="Arial" w:eastAsia="Times New Roman" w:hAnsi="Arial" w:cs="Arial"/>
          <w:sz w:val="24"/>
          <w:szCs w:val="24"/>
          <w:lang w:val="es-EC" w:eastAsia="es-EC"/>
        </w:rPr>
        <w:lastRenderedPageBreak/>
        <w:t>descentralizados municipales en materia de promoción del desarrollo económico local.</w:t>
      </w:r>
    </w:p>
    <w:p w:rsidR="007166B7" w:rsidRPr="007166B7"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El artículo 54 literal h) del COOTAD establece como competencia exclusiva del Gobierno Autónomo Descentralizado Municipal la promoción del desarrollo económico local, con énfasis en la economía social y solidaria, competencia que, conforme al modelo de gestión definido en el Estatuto Orgánico y a los objetivos establecidos en la ordenanza sustitutiva vigente, se materializa a través de acciones de promoción, comercialización y dinamización económica ejecutadas por la Dirección de Gestión de Desarrollo Económico y Productivo,</w:t>
      </w:r>
      <w:r w:rsidR="007D5883">
        <w:rPr>
          <w:rFonts w:ascii="Arial" w:eastAsia="Times New Roman" w:hAnsi="Arial" w:cs="Arial"/>
          <w:sz w:val="24"/>
          <w:szCs w:val="24"/>
          <w:lang w:val="es-EC" w:eastAsia="es-EC"/>
        </w:rPr>
        <w:t xml:space="preserve"> a través de la Jefatura de Agregación de Valor y Comercialización,</w:t>
      </w:r>
      <w:r w:rsidRPr="007166B7">
        <w:rPr>
          <w:rFonts w:ascii="Arial" w:eastAsia="Times New Roman" w:hAnsi="Arial" w:cs="Arial"/>
          <w:sz w:val="24"/>
          <w:szCs w:val="24"/>
          <w:lang w:val="es-EC" w:eastAsia="es-EC"/>
        </w:rPr>
        <w:t xml:space="preserve"> como es el caso del proyecto Expo Sacha. En consecuencia, condicionar su ejecución a esquemas de delegación competencial ajenos a su naturaleza funcional resulta jurídicamente improcedente y genera rigideces normativas innecesarias.</w:t>
      </w:r>
    </w:p>
    <w:p w:rsidR="00777CD4" w:rsidRDefault="007166B7" w:rsidP="007166B7">
      <w:pPr>
        <w:spacing w:before="100" w:beforeAutospacing="1" w:after="100" w:afterAutospacing="1" w:line="240" w:lineRule="auto"/>
        <w:jc w:val="both"/>
        <w:rPr>
          <w:rFonts w:ascii="Arial" w:eastAsia="Times New Roman" w:hAnsi="Arial" w:cs="Arial"/>
          <w:sz w:val="24"/>
          <w:szCs w:val="24"/>
          <w:lang w:val="es-EC" w:eastAsia="es-EC"/>
        </w:rPr>
      </w:pPr>
      <w:r w:rsidRPr="007166B7">
        <w:rPr>
          <w:rFonts w:ascii="Arial" w:eastAsia="Times New Roman" w:hAnsi="Arial" w:cs="Arial"/>
          <w:sz w:val="24"/>
          <w:szCs w:val="24"/>
          <w:lang w:val="es-EC" w:eastAsia="es-EC"/>
        </w:rPr>
        <w:t>En atención a lo expuesto, la presente reforma tiene por objeto precisar el encuadre competencial correcto del proyecto Expo Sacha, armonizar la normativa cantonal vigente con la estructura orgánica institucional definida en el Estatuto Orgánico de Gestión Organizacional por Procesos y con el régimen de competencias establecido en el COOTAD, y fortalecer la seguridad jurídica para su ejecución administrativa y presupuestaria, garantizando una gestión coherente, eficiente y alineada con los fines del desarrollo económico local del cantón La Joya de los Sachas.</w:t>
      </w:r>
    </w:p>
    <w:p w:rsidR="00226DFE" w:rsidRPr="004B0A4E" w:rsidRDefault="00226DFE" w:rsidP="00226DFE">
      <w:pPr>
        <w:spacing w:before="100" w:beforeAutospacing="1" w:after="100" w:afterAutospacing="1" w:line="240" w:lineRule="auto"/>
        <w:jc w:val="both"/>
        <w:rPr>
          <w:rFonts w:ascii="Arial" w:eastAsia="Times New Roman" w:hAnsi="Arial" w:cs="Arial"/>
          <w:sz w:val="24"/>
          <w:szCs w:val="24"/>
          <w:lang w:val="es-EC" w:eastAsia="es-EC"/>
        </w:rPr>
      </w:pPr>
    </w:p>
    <w:p w:rsidR="00D122AB" w:rsidRPr="00D122AB" w:rsidRDefault="00D122AB" w:rsidP="00D122AB">
      <w:pPr>
        <w:spacing w:before="100" w:beforeAutospacing="1" w:after="100" w:afterAutospacing="1" w:line="240" w:lineRule="auto"/>
        <w:jc w:val="both"/>
        <w:rPr>
          <w:rFonts w:ascii="Arial" w:eastAsia="Times New Roman" w:hAnsi="Arial" w:cs="Arial"/>
          <w:b/>
          <w:sz w:val="24"/>
          <w:szCs w:val="24"/>
          <w:lang w:val="es-EC" w:eastAsia="es-EC"/>
        </w:rPr>
      </w:pPr>
      <w:r w:rsidRPr="00D122AB">
        <w:rPr>
          <w:rFonts w:ascii="Arial" w:eastAsia="Times New Roman" w:hAnsi="Arial" w:cs="Arial"/>
          <w:b/>
          <w:sz w:val="24"/>
          <w:szCs w:val="24"/>
          <w:lang w:val="es-EC" w:eastAsia="es-EC"/>
        </w:rPr>
        <w:t>EL CONCEJO MUNICIPAL DEL GOBIERNO AUTÓNOMO DESCENTRALIZADO MUNICIPAL DEL CANTÓN LA JOYA DE LOS SACHAS</w:t>
      </w:r>
    </w:p>
    <w:p w:rsidR="00D122AB" w:rsidRPr="00D122AB" w:rsidRDefault="00D122AB" w:rsidP="00D122AB">
      <w:pPr>
        <w:spacing w:before="100" w:beforeAutospacing="1" w:after="100" w:afterAutospacing="1" w:line="240" w:lineRule="auto"/>
        <w:jc w:val="both"/>
        <w:rPr>
          <w:rFonts w:ascii="Arial" w:eastAsia="Times New Roman" w:hAnsi="Arial" w:cs="Arial"/>
          <w:b/>
          <w:sz w:val="24"/>
          <w:szCs w:val="24"/>
          <w:lang w:val="es-EC" w:eastAsia="es-EC"/>
        </w:rPr>
      </w:pPr>
      <w:r w:rsidRPr="00D122AB">
        <w:rPr>
          <w:rFonts w:ascii="Arial" w:eastAsia="Times New Roman" w:hAnsi="Arial" w:cs="Arial"/>
          <w:b/>
          <w:sz w:val="24"/>
          <w:szCs w:val="24"/>
          <w:lang w:val="es-EC" w:eastAsia="es-EC"/>
        </w:rPr>
        <w:t>CONSIDERANDO:</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Que, el artículo 238 de la Constitución de la República del Ecuador reconoce a los gobiernos autónomos descentralizados autonomía política, administrativa y financiera;</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Que, el artículo 240 de la Constitución de la República del Ecuador establece que los gobiernos autónomos descentralizados tienen facultad legislativa en el ámbito de sus competencias;</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 xml:space="preserve">Que, el artículo 264 numeral </w:t>
      </w:r>
      <w:r w:rsidR="00010227">
        <w:rPr>
          <w:rFonts w:ascii="Arial" w:eastAsia="Times New Roman" w:hAnsi="Arial" w:cs="Arial"/>
          <w:sz w:val="24"/>
          <w:szCs w:val="24"/>
          <w:lang w:val="es-EC" w:eastAsia="es-EC"/>
        </w:rPr>
        <w:t>1</w:t>
      </w:r>
      <w:r w:rsidRPr="00D122AB">
        <w:rPr>
          <w:rFonts w:ascii="Arial" w:eastAsia="Times New Roman" w:hAnsi="Arial" w:cs="Arial"/>
          <w:sz w:val="24"/>
          <w:szCs w:val="24"/>
          <w:lang w:val="es-EC" w:eastAsia="es-EC"/>
        </w:rPr>
        <w:t xml:space="preserve"> de la Constitución de la República del Ecuador atribuye a los gobiernos municipales la competencia de planificar el desarrollo cantonal y formular los planes de ordenamiento territorial, de manera articulada con la planificación nacional;</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 xml:space="preserve">Que, el artículo 276 numerales 2 y </w:t>
      </w:r>
      <w:r w:rsidR="00AB1323">
        <w:rPr>
          <w:rFonts w:ascii="Arial" w:eastAsia="Times New Roman" w:hAnsi="Arial" w:cs="Arial"/>
          <w:sz w:val="24"/>
          <w:szCs w:val="24"/>
          <w:lang w:val="es-EC" w:eastAsia="es-EC"/>
        </w:rPr>
        <w:t>6</w:t>
      </w:r>
      <w:r w:rsidRPr="00D122AB">
        <w:rPr>
          <w:rFonts w:ascii="Arial" w:eastAsia="Times New Roman" w:hAnsi="Arial" w:cs="Arial"/>
          <w:sz w:val="24"/>
          <w:szCs w:val="24"/>
          <w:lang w:val="es-EC" w:eastAsia="es-EC"/>
        </w:rPr>
        <w:t xml:space="preserve"> de la Constitución de la República del Ecuador dispone que el régimen de desarrollo tiene como objetivos la construcción de un sistema económico justo, productivo, solidario y sostenible, así como la promoción del desarrollo territorial equilibrado;</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lastRenderedPageBreak/>
        <w:t xml:space="preserve">Que, el artículo 277 numerales </w:t>
      </w:r>
      <w:r w:rsidR="00366D21">
        <w:rPr>
          <w:rFonts w:ascii="Arial" w:eastAsia="Times New Roman" w:hAnsi="Arial" w:cs="Arial"/>
          <w:sz w:val="24"/>
          <w:szCs w:val="24"/>
          <w:lang w:val="es-EC" w:eastAsia="es-EC"/>
        </w:rPr>
        <w:t>2, 5</w:t>
      </w:r>
      <w:r w:rsidRPr="00D122AB">
        <w:rPr>
          <w:rFonts w:ascii="Arial" w:eastAsia="Times New Roman" w:hAnsi="Arial" w:cs="Arial"/>
          <w:sz w:val="24"/>
          <w:szCs w:val="24"/>
          <w:lang w:val="es-EC" w:eastAsia="es-EC"/>
        </w:rPr>
        <w:t xml:space="preserve"> y 6 de la Constitución de la República del Ecuador establece como deber del Estado </w:t>
      </w:r>
      <w:r w:rsidR="00366D21" w:rsidRPr="00366D21">
        <w:rPr>
          <w:rFonts w:ascii="Arial" w:eastAsia="Times New Roman" w:hAnsi="Arial" w:cs="Arial"/>
          <w:sz w:val="24"/>
          <w:szCs w:val="24"/>
          <w:lang w:val="es-EC" w:eastAsia="es-EC"/>
        </w:rPr>
        <w:t>Dirigir, planificar y regular el proceso de desarrollo</w:t>
      </w:r>
      <w:r w:rsidR="00366D21">
        <w:rPr>
          <w:rFonts w:ascii="Arial" w:eastAsia="Times New Roman" w:hAnsi="Arial" w:cs="Arial"/>
          <w:sz w:val="24"/>
          <w:szCs w:val="24"/>
          <w:lang w:val="es-EC" w:eastAsia="es-EC"/>
        </w:rPr>
        <w:t xml:space="preserve">, así como </w:t>
      </w:r>
      <w:r w:rsidRPr="00D122AB">
        <w:rPr>
          <w:rFonts w:ascii="Arial" w:eastAsia="Times New Roman" w:hAnsi="Arial" w:cs="Arial"/>
          <w:sz w:val="24"/>
          <w:szCs w:val="24"/>
          <w:lang w:val="es-EC" w:eastAsia="es-EC"/>
        </w:rPr>
        <w:t>impulsar las actividades económicas y promover la iniciativa comunitaria, asociativa, cooperativa y privada;</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Que, el artículo 54 literal h) del Código Orgánico de Organización Territorial, Autonomía y Descentralización faculta a los gobiernos autónomos descentralizados municipales a promover el desarrollo económico local en su jurisdicción, con especial atención al sector de la economía social y solidaria;</w:t>
      </w:r>
    </w:p>
    <w:p w:rsidR="00D122AB" w:rsidRPr="00D122AB" w:rsidRDefault="00FA786B" w:rsidP="00D122AB">
      <w:pPr>
        <w:spacing w:before="100" w:beforeAutospacing="1" w:after="100" w:afterAutospacing="1" w:line="240" w:lineRule="auto"/>
        <w:jc w:val="both"/>
        <w:rPr>
          <w:rFonts w:ascii="Arial" w:eastAsia="Times New Roman" w:hAnsi="Arial" w:cs="Arial"/>
          <w:sz w:val="24"/>
          <w:szCs w:val="24"/>
          <w:lang w:val="es-EC" w:eastAsia="es-EC"/>
        </w:rPr>
      </w:pPr>
      <w:r w:rsidRPr="00FA786B">
        <w:rPr>
          <w:rFonts w:ascii="Arial" w:eastAsia="Times New Roman" w:hAnsi="Arial" w:cs="Arial"/>
          <w:sz w:val="24"/>
          <w:szCs w:val="24"/>
          <w:lang w:val="es-EC" w:eastAsia="es-EC"/>
        </w:rPr>
        <w:t>Que, el Gobierno Autónomo Descentralizado Municipal del Cantón La Joya de los Sachas, en ejercicio de la autonomía administrativa reconocida en el artículo 238 de la Constitución de la República del Ecuador, cuenta con el Estatuto Orgánico de Gestión Organizacional por Procesos, aprobado por el órgano legislativo cantonal, el cual define el modelo de gestión institucional y la estructura organizacional por procesos; y que, conforme a lo dispuesto en el Artículo 9 y en el Capítulo IV – Descripción del Modelo Organizacional por Procesos, se establece el Proceso 10: Desarrollo Económico y Productivo, dentro del cual se encuentra la Dirección de Gestión de Desarrollo Económico y Productivo, así como la Unidad de Agregación de Valor y Comercialización, como instancias responsables de ejecutar acciones de promoción económica, comercialización y agregación de valor en el territorio cantonal;</w:t>
      </w:r>
    </w:p>
    <w:p w:rsidR="00D122AB" w:rsidRPr="00D122AB" w:rsidRDefault="00BB0F2F" w:rsidP="00D122AB">
      <w:pPr>
        <w:spacing w:before="100" w:beforeAutospacing="1" w:after="100" w:afterAutospacing="1" w:line="240" w:lineRule="auto"/>
        <w:jc w:val="both"/>
        <w:rPr>
          <w:rFonts w:ascii="Arial" w:eastAsia="Times New Roman" w:hAnsi="Arial" w:cs="Arial"/>
          <w:sz w:val="24"/>
          <w:szCs w:val="24"/>
          <w:lang w:val="es-EC" w:eastAsia="es-EC"/>
        </w:rPr>
      </w:pPr>
      <w:r w:rsidRPr="00BB0F2F">
        <w:rPr>
          <w:rFonts w:ascii="Arial" w:eastAsia="Times New Roman" w:hAnsi="Arial" w:cs="Arial"/>
          <w:sz w:val="24"/>
          <w:szCs w:val="24"/>
          <w:lang w:val="es-EC" w:eastAsia="es-EC"/>
        </w:rPr>
        <w:t>Que, de conformidad con el Proceso 10: Desarrollo Económico y Productivo previsto en el Estatuto Orgánico de Gestión Organizacional por Procesos del Gobierno Autónomo Descentralizado Municipal del Cantón La Joya de los Sachas, las acciones institucionales orientadas a la promoción económica, la comercialización, la agregación de valor y el fortalecimiento de los circuitos productivos locales se materializan a través de espacios de difusión y promoción; y que, en concordancia con el artículo 54 literal h) del Código Orgánico de Organización Territorial, Autonomía y Descentralización, la Expo Sacha constituye un evento de promoción, difusión y dinamización de la economía local, orientado a la generación de espacios temporales de comercialización, promoción turística, cultural, gastronómica y de emprendimientos, sin que implique el ejercicio de competencias de fomento productivo primario, sanidad animal o regulación agropecuaria atribuidas a otros niveles de gobierno</w:t>
      </w:r>
      <w:r w:rsidR="00D122AB" w:rsidRPr="00D122AB">
        <w:rPr>
          <w:rFonts w:ascii="Arial" w:eastAsia="Times New Roman" w:hAnsi="Arial" w:cs="Arial"/>
          <w:sz w:val="24"/>
          <w:szCs w:val="24"/>
          <w:lang w:val="es-EC" w:eastAsia="es-EC"/>
        </w:rPr>
        <w:t>;</w:t>
      </w:r>
    </w:p>
    <w:p w:rsidR="00D122AB" w:rsidRPr="00D122AB" w:rsidRDefault="00BB0F2F" w:rsidP="00D122AB">
      <w:pPr>
        <w:spacing w:before="100" w:beforeAutospacing="1" w:after="100" w:afterAutospacing="1" w:line="240" w:lineRule="auto"/>
        <w:jc w:val="both"/>
        <w:rPr>
          <w:rFonts w:ascii="Arial" w:eastAsia="Times New Roman" w:hAnsi="Arial" w:cs="Arial"/>
          <w:sz w:val="24"/>
          <w:szCs w:val="24"/>
          <w:lang w:val="es-EC" w:eastAsia="es-EC"/>
        </w:rPr>
      </w:pPr>
      <w:r w:rsidRPr="00BB0F2F">
        <w:rPr>
          <w:rFonts w:ascii="Arial" w:eastAsia="Times New Roman" w:hAnsi="Arial" w:cs="Arial"/>
          <w:sz w:val="24"/>
          <w:szCs w:val="24"/>
          <w:lang w:val="es-EC" w:eastAsia="es-EC"/>
        </w:rPr>
        <w:t xml:space="preserve">Que, en observancia de los principios de seguridad jurídica, legalidad, eficiencia y coherencia institucional previstos en los artículos 82 y 227 de la Constitución de la República del Ecuador, y considerando que el Estatuto Orgánico de Gestión Organizacional por Procesos constituye el instrumento normativo que organiza y delimita las competencias funcionales internas del Gobierno Autónomo Descentralizado Municipal del Cantón La Joya de los Sachas, resulta necesario adecuar el marco normativo cantonal que regula el proyecto </w:t>
      </w:r>
      <w:r w:rsidRPr="00F844A5">
        <w:rPr>
          <w:rFonts w:ascii="Arial" w:eastAsia="Times New Roman" w:hAnsi="Arial" w:cs="Arial"/>
          <w:b/>
          <w:sz w:val="24"/>
          <w:szCs w:val="24"/>
          <w:lang w:val="es-EC" w:eastAsia="es-EC"/>
        </w:rPr>
        <w:t>Expo Sacha</w:t>
      </w:r>
      <w:r w:rsidRPr="00BB0F2F">
        <w:rPr>
          <w:rFonts w:ascii="Arial" w:eastAsia="Times New Roman" w:hAnsi="Arial" w:cs="Arial"/>
          <w:sz w:val="24"/>
          <w:szCs w:val="24"/>
          <w:lang w:val="es-EC" w:eastAsia="es-EC"/>
        </w:rPr>
        <w:t xml:space="preserve"> a la correcta delimitación de competencias institucionales y legales, a fin de garantizar la correcta ejecución administrativa y presupuestaria, así como un adecuado control posterior de los recursos públicos;</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En ejercicio de las atribuciones conferidas en los artículos 7, 57 literal a) y 322 del Código Orgánico de Organización Territorial, Autonomía y Descentralización,</w:t>
      </w:r>
    </w:p>
    <w:p w:rsidR="00D122AB" w:rsidRPr="00D122AB" w:rsidRDefault="00D122AB" w:rsidP="00D122AB">
      <w:pPr>
        <w:spacing w:before="100" w:beforeAutospacing="1" w:after="100" w:afterAutospacing="1" w:line="240" w:lineRule="auto"/>
        <w:jc w:val="both"/>
        <w:rPr>
          <w:rFonts w:ascii="Arial" w:eastAsia="Times New Roman" w:hAnsi="Arial" w:cs="Arial"/>
          <w:b/>
          <w:sz w:val="24"/>
          <w:szCs w:val="24"/>
          <w:lang w:val="es-EC" w:eastAsia="es-EC"/>
        </w:rPr>
      </w:pPr>
      <w:r w:rsidRPr="00D122AB">
        <w:rPr>
          <w:rFonts w:ascii="Arial" w:eastAsia="Times New Roman" w:hAnsi="Arial" w:cs="Arial"/>
          <w:b/>
          <w:sz w:val="24"/>
          <w:szCs w:val="24"/>
          <w:lang w:val="es-EC" w:eastAsia="es-EC"/>
        </w:rPr>
        <w:lastRenderedPageBreak/>
        <w:t>EXPIDE:</w:t>
      </w:r>
    </w:p>
    <w:p w:rsidR="00D122AB" w:rsidRPr="00D122AB" w:rsidRDefault="00D122AB" w:rsidP="00D122AB">
      <w:pPr>
        <w:spacing w:before="100" w:beforeAutospacing="1" w:after="100" w:afterAutospacing="1" w:line="240" w:lineRule="auto"/>
        <w:jc w:val="both"/>
        <w:rPr>
          <w:rFonts w:ascii="Arial" w:eastAsia="Times New Roman" w:hAnsi="Arial" w:cs="Arial"/>
          <w:b/>
          <w:sz w:val="24"/>
          <w:szCs w:val="24"/>
          <w:lang w:val="es-EC" w:eastAsia="es-EC"/>
        </w:rPr>
      </w:pPr>
      <w:r w:rsidRPr="00D122AB">
        <w:rPr>
          <w:rFonts w:ascii="Arial" w:eastAsia="Times New Roman" w:hAnsi="Arial" w:cs="Arial"/>
          <w:b/>
          <w:sz w:val="24"/>
          <w:szCs w:val="24"/>
          <w:lang w:val="es-EC" w:eastAsia="es-EC"/>
        </w:rPr>
        <w:t>LA ORDENANZA REFORMATORIA A LA ORDENANZA SUSTITUTIVA QUE REGLAMENTA LA PLANIFICACIÓN, ADMINISTRACIÓN Y MANEJO DE RECURSOS ECONÓMICOS PARA LA EJECUCIÓN DEL PROYECTO “EXPO SACHA, PARA LA PROMOCIÓN Y DIFUSIÓN DE LA CULTURA, RECREACIÓN, TECNOLOGÍAS AGRO PRODUCTIVAS, COMERCIO, TURISMO Y EMPRENDIMIENTOS, PARA PROMOVER LA DINAMIZACIÓN DE LA ECONOMÍA LOCAL DEL CANTÓN LA JOYA DE LOS SACHAS”.</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 xml:space="preserve">Art. 1.- Objeto de la </w:t>
      </w:r>
      <w:r w:rsidRPr="004B0A4E">
        <w:rPr>
          <w:rFonts w:ascii="Arial" w:eastAsia="Times New Roman" w:hAnsi="Arial" w:cs="Arial"/>
          <w:sz w:val="24"/>
          <w:szCs w:val="24"/>
          <w:lang w:val="es-EC" w:eastAsia="es-EC"/>
        </w:rPr>
        <w:t>reforma. -</w:t>
      </w:r>
      <w:r w:rsidRPr="00D122AB">
        <w:rPr>
          <w:rFonts w:ascii="Arial" w:eastAsia="Times New Roman" w:hAnsi="Arial" w:cs="Arial"/>
          <w:sz w:val="24"/>
          <w:szCs w:val="24"/>
          <w:lang w:val="es-EC" w:eastAsia="es-EC"/>
        </w:rPr>
        <w:t xml:space="preserve"> La presente ordenanza tiene por objeto precisar el encuadre competencial para la ejecución del proyecto Expo Sacha, en concordancia con las competencias exclusivas del Gobierno Autónomo Descentralizado Municipal del Cantón La Joya de los Sachas.</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 xml:space="preserve">Art. 2.- Incorpórese a continuación del artículo 2 de la ordenanza sustituida, el siguiente artículo </w:t>
      </w:r>
      <w:r w:rsidR="007D5883" w:rsidRPr="00D122AB">
        <w:rPr>
          <w:rFonts w:ascii="Arial" w:eastAsia="Times New Roman" w:hAnsi="Arial" w:cs="Arial"/>
          <w:sz w:val="24"/>
          <w:szCs w:val="24"/>
          <w:lang w:val="es-EC" w:eastAsia="es-EC"/>
        </w:rPr>
        <w:t>enumerado</w:t>
      </w:r>
      <w:r w:rsidRPr="00D122AB">
        <w:rPr>
          <w:rFonts w:ascii="Arial" w:eastAsia="Times New Roman" w:hAnsi="Arial" w:cs="Arial"/>
          <w:sz w:val="24"/>
          <w:szCs w:val="24"/>
          <w:lang w:val="es-EC" w:eastAsia="es-EC"/>
        </w:rPr>
        <w:t>:</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“Art. (...).- Naturaleza competencial de la Expo Sacha.- La Expo Sacha constituye un evento de promoción, difusión y dinamización de la economía local, orientado a la promoción comercial, turística, cultural, gastronómica, de emprendimientos y de agregación de valor a la producción local, enmarcado en las competencias exclusivas del Gobierno Autónomo Descentralizado Municipal del Cantón La Joya de los Sachas, de conformidad con lo dispuesto en los artículos 264 numeral 2 de la Constitución de la República del Ecuador y 54 literal h) del Código Orgánico de Organización Territorial, Autonomía y Descentralización.</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La ejecución de la Expo Sacha no implica el ejercicio de competencias de fomento productivo primario, sanidad animal, regulación agropecuaria o aquellas atribuidas a otros niveles de gobierno, por lo que no requiere delegación de competencias por parte de otro gobierno autónomo descentralizado.”</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Art. 3.- Deróguese la Disposición General OCTAVA de la ordenanza sustituida.</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Art. 4.- En todas las disposiciones de la ordenanza sustituida, elimínese cualquier referencia a la Disposición Transitoria Décima Novena del Código Orgánico de Organización Territorial, Autonomía y Descentralización y a las Resoluciones 0005-CNC-2015 y 0008-CNC-2015 del Consejo Nacional de Competencias, por no corresponder a la naturaleza competencial del proyecto Expo Sacha.</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DISPOSICIÓN GENERAL ÚNICA</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La ejecución del proyecto Expo Sacha se realizará conforme al Plan Operativo Anual y al presupuesto institucional aprobado, bajo los principios de legalidad, eficiencia, eficacia, transparencia y control posterior.</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DISPOSICIÓN FINAL</w:t>
      </w:r>
    </w:p>
    <w:p w:rsidR="00D122AB" w:rsidRPr="00D122AB" w:rsidRDefault="00D122AB" w:rsidP="00D122AB">
      <w:pPr>
        <w:spacing w:before="100" w:beforeAutospacing="1" w:after="100" w:afterAutospacing="1" w:line="240" w:lineRule="auto"/>
        <w:jc w:val="both"/>
        <w:rPr>
          <w:rFonts w:ascii="Arial" w:eastAsia="Times New Roman" w:hAnsi="Arial" w:cs="Arial"/>
          <w:sz w:val="24"/>
          <w:szCs w:val="24"/>
          <w:lang w:val="es-EC" w:eastAsia="es-EC"/>
        </w:rPr>
      </w:pPr>
      <w:r w:rsidRPr="00D122AB">
        <w:rPr>
          <w:rFonts w:ascii="Arial" w:eastAsia="Times New Roman" w:hAnsi="Arial" w:cs="Arial"/>
          <w:sz w:val="24"/>
          <w:szCs w:val="24"/>
          <w:lang w:val="es-EC" w:eastAsia="es-EC"/>
        </w:rPr>
        <w:t xml:space="preserve">La presente ordenanza reformatoria entrará en vigencia a partir de su aprobación por el Concejo Municipal y sanción por el Ejecutivo Municipal, sin perjuicio de su </w:t>
      </w:r>
      <w:r w:rsidRPr="00D122AB">
        <w:rPr>
          <w:rFonts w:ascii="Arial" w:eastAsia="Times New Roman" w:hAnsi="Arial" w:cs="Arial"/>
          <w:sz w:val="24"/>
          <w:szCs w:val="24"/>
          <w:lang w:val="es-EC" w:eastAsia="es-EC"/>
        </w:rPr>
        <w:lastRenderedPageBreak/>
        <w:t>publicación en la Gaceta Oficial y en el sitio web institucional del Gobierno Autónomo Descentralizado Municipal del Cantón La Joya de los Sachas.</w:t>
      </w:r>
    </w:p>
    <w:p w:rsidR="00BB1328" w:rsidRPr="004B0A4E" w:rsidRDefault="00BB1328" w:rsidP="00D122AB">
      <w:pPr>
        <w:jc w:val="both"/>
        <w:rPr>
          <w:rFonts w:ascii="Arial" w:hAnsi="Arial" w:cs="Arial"/>
        </w:rPr>
      </w:pPr>
    </w:p>
    <w:sectPr w:rsidR="00BB1328" w:rsidRPr="004B0A4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2AB"/>
    <w:rsid w:val="00010227"/>
    <w:rsid w:val="000F5CB3"/>
    <w:rsid w:val="00226DFE"/>
    <w:rsid w:val="002B0927"/>
    <w:rsid w:val="00366D21"/>
    <w:rsid w:val="004B0A4E"/>
    <w:rsid w:val="006257DF"/>
    <w:rsid w:val="00663A39"/>
    <w:rsid w:val="007166B7"/>
    <w:rsid w:val="00777CD4"/>
    <w:rsid w:val="007D5883"/>
    <w:rsid w:val="00A13F52"/>
    <w:rsid w:val="00AB1323"/>
    <w:rsid w:val="00B836CA"/>
    <w:rsid w:val="00BB0F2F"/>
    <w:rsid w:val="00BB1328"/>
    <w:rsid w:val="00C875CE"/>
    <w:rsid w:val="00D122AB"/>
    <w:rsid w:val="00D22758"/>
    <w:rsid w:val="00EC21B1"/>
    <w:rsid w:val="00F844A5"/>
    <w:rsid w:val="00FA786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4B54"/>
  <w15:chartTrackingRefBased/>
  <w15:docId w15:val="{6E4338CC-6581-4FE0-A704-34E9F5A91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s-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min-w-0">
    <w:name w:val="min-w-0"/>
    <w:basedOn w:val="Fuentedeprrafopredeter"/>
    <w:rsid w:val="00D122AB"/>
  </w:style>
  <w:style w:type="paragraph" w:styleId="NormalWeb">
    <w:name w:val="Normal (Web)"/>
    <w:basedOn w:val="Normal"/>
    <w:uiPriority w:val="99"/>
    <w:semiHidden/>
    <w:unhideWhenUsed/>
    <w:rsid w:val="00D122AB"/>
    <w:pPr>
      <w:spacing w:before="100" w:beforeAutospacing="1" w:after="100" w:afterAutospacing="1" w:line="240" w:lineRule="auto"/>
    </w:pPr>
    <w:rPr>
      <w:rFonts w:ascii="Times New Roman" w:eastAsia="Times New Roman" w:hAnsi="Times New Roman" w:cs="Times New Roman"/>
      <w:sz w:val="24"/>
      <w:szCs w:val="24"/>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317015">
      <w:bodyDiv w:val="1"/>
      <w:marLeft w:val="0"/>
      <w:marRight w:val="0"/>
      <w:marTop w:val="0"/>
      <w:marBottom w:val="0"/>
      <w:divBdr>
        <w:top w:val="none" w:sz="0" w:space="0" w:color="auto"/>
        <w:left w:val="none" w:sz="0" w:space="0" w:color="auto"/>
        <w:bottom w:val="none" w:sz="0" w:space="0" w:color="auto"/>
        <w:right w:val="none" w:sz="0" w:space="0" w:color="auto"/>
      </w:divBdr>
      <w:divsChild>
        <w:div w:id="1629168288">
          <w:marLeft w:val="0"/>
          <w:marRight w:val="0"/>
          <w:marTop w:val="0"/>
          <w:marBottom w:val="0"/>
          <w:divBdr>
            <w:top w:val="none" w:sz="0" w:space="0" w:color="auto"/>
            <w:left w:val="none" w:sz="0" w:space="0" w:color="auto"/>
            <w:bottom w:val="none" w:sz="0" w:space="0" w:color="auto"/>
            <w:right w:val="none" w:sz="0" w:space="0" w:color="auto"/>
          </w:divBdr>
          <w:divsChild>
            <w:div w:id="1183056158">
              <w:marLeft w:val="0"/>
              <w:marRight w:val="0"/>
              <w:marTop w:val="0"/>
              <w:marBottom w:val="0"/>
              <w:divBdr>
                <w:top w:val="none" w:sz="0" w:space="0" w:color="auto"/>
                <w:left w:val="none" w:sz="0" w:space="0" w:color="auto"/>
                <w:bottom w:val="none" w:sz="0" w:space="0" w:color="auto"/>
                <w:right w:val="none" w:sz="0" w:space="0" w:color="auto"/>
              </w:divBdr>
              <w:divsChild>
                <w:div w:id="905339896">
                  <w:marLeft w:val="0"/>
                  <w:marRight w:val="0"/>
                  <w:marTop w:val="0"/>
                  <w:marBottom w:val="0"/>
                  <w:divBdr>
                    <w:top w:val="none" w:sz="0" w:space="0" w:color="auto"/>
                    <w:left w:val="none" w:sz="0" w:space="0" w:color="auto"/>
                    <w:bottom w:val="none" w:sz="0" w:space="0" w:color="auto"/>
                    <w:right w:val="none" w:sz="0" w:space="0" w:color="auto"/>
                  </w:divBdr>
                  <w:divsChild>
                    <w:div w:id="198685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6850">
          <w:marLeft w:val="0"/>
          <w:marRight w:val="0"/>
          <w:marTop w:val="0"/>
          <w:marBottom w:val="0"/>
          <w:divBdr>
            <w:top w:val="none" w:sz="0" w:space="0" w:color="auto"/>
            <w:left w:val="none" w:sz="0" w:space="0" w:color="auto"/>
            <w:bottom w:val="none" w:sz="0" w:space="0" w:color="auto"/>
            <w:right w:val="none" w:sz="0" w:space="0" w:color="auto"/>
          </w:divBdr>
          <w:divsChild>
            <w:div w:id="1416048255">
              <w:marLeft w:val="0"/>
              <w:marRight w:val="0"/>
              <w:marTop w:val="0"/>
              <w:marBottom w:val="0"/>
              <w:divBdr>
                <w:top w:val="none" w:sz="0" w:space="0" w:color="auto"/>
                <w:left w:val="none" w:sz="0" w:space="0" w:color="auto"/>
                <w:bottom w:val="none" w:sz="0" w:space="0" w:color="auto"/>
                <w:right w:val="none" w:sz="0" w:space="0" w:color="auto"/>
              </w:divBdr>
              <w:divsChild>
                <w:div w:id="555316871">
                  <w:marLeft w:val="0"/>
                  <w:marRight w:val="0"/>
                  <w:marTop w:val="0"/>
                  <w:marBottom w:val="0"/>
                  <w:divBdr>
                    <w:top w:val="none" w:sz="0" w:space="0" w:color="auto"/>
                    <w:left w:val="none" w:sz="0" w:space="0" w:color="auto"/>
                    <w:bottom w:val="none" w:sz="0" w:space="0" w:color="auto"/>
                    <w:right w:val="none" w:sz="0" w:space="0" w:color="auto"/>
                  </w:divBdr>
                  <w:divsChild>
                    <w:div w:id="1106198113">
                      <w:marLeft w:val="0"/>
                      <w:marRight w:val="0"/>
                      <w:marTop w:val="0"/>
                      <w:marBottom w:val="0"/>
                      <w:divBdr>
                        <w:top w:val="none" w:sz="0" w:space="0" w:color="auto"/>
                        <w:left w:val="none" w:sz="0" w:space="0" w:color="auto"/>
                        <w:bottom w:val="none" w:sz="0" w:space="0" w:color="auto"/>
                        <w:right w:val="none" w:sz="0" w:space="0" w:color="auto"/>
                      </w:divBdr>
                      <w:divsChild>
                        <w:div w:id="1584294314">
                          <w:marLeft w:val="0"/>
                          <w:marRight w:val="0"/>
                          <w:marTop w:val="0"/>
                          <w:marBottom w:val="0"/>
                          <w:divBdr>
                            <w:top w:val="none" w:sz="0" w:space="0" w:color="auto"/>
                            <w:left w:val="none" w:sz="0" w:space="0" w:color="auto"/>
                            <w:bottom w:val="none" w:sz="0" w:space="0" w:color="auto"/>
                            <w:right w:val="none" w:sz="0" w:space="0" w:color="auto"/>
                          </w:divBdr>
                          <w:divsChild>
                            <w:div w:id="1273902643">
                              <w:marLeft w:val="0"/>
                              <w:marRight w:val="0"/>
                              <w:marTop w:val="0"/>
                              <w:marBottom w:val="0"/>
                              <w:divBdr>
                                <w:top w:val="none" w:sz="0" w:space="0" w:color="auto"/>
                                <w:left w:val="none" w:sz="0" w:space="0" w:color="auto"/>
                                <w:bottom w:val="none" w:sz="0" w:space="0" w:color="auto"/>
                                <w:right w:val="none" w:sz="0" w:space="0" w:color="auto"/>
                              </w:divBdr>
                              <w:divsChild>
                                <w:div w:id="138151935">
                                  <w:marLeft w:val="0"/>
                                  <w:marRight w:val="0"/>
                                  <w:marTop w:val="0"/>
                                  <w:marBottom w:val="0"/>
                                  <w:divBdr>
                                    <w:top w:val="none" w:sz="0" w:space="0" w:color="auto"/>
                                    <w:left w:val="none" w:sz="0" w:space="0" w:color="auto"/>
                                    <w:bottom w:val="none" w:sz="0" w:space="0" w:color="auto"/>
                                    <w:right w:val="none" w:sz="0" w:space="0" w:color="auto"/>
                                  </w:divBdr>
                                  <w:divsChild>
                                    <w:div w:id="1739553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1802</Words>
  <Characters>9914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Garzon</dc:creator>
  <cp:keywords/>
  <dc:description/>
  <cp:lastModifiedBy>DESARROLLO E</cp:lastModifiedBy>
  <cp:revision>3</cp:revision>
  <dcterms:created xsi:type="dcterms:W3CDTF">2026-02-24T15:45:00Z</dcterms:created>
  <dcterms:modified xsi:type="dcterms:W3CDTF">2026-02-24T15:49:00Z</dcterms:modified>
</cp:coreProperties>
</file>